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2C" w:rsidRDefault="00293C2C" w:rsidP="00293C2C">
      <w:pPr>
        <w:spacing w:after="0"/>
        <w:jc w:val="right"/>
      </w:pPr>
      <w:bookmarkStart w:id="0" w:name="_GoBack"/>
      <w:bookmarkEnd w:id="0"/>
      <w:r>
        <w:t>Name: ___________________________</w:t>
      </w:r>
    </w:p>
    <w:p w:rsidR="00F90220" w:rsidRDefault="00F90220" w:rsidP="00293C2C">
      <w:pPr>
        <w:spacing w:after="0"/>
        <w:jc w:val="right"/>
      </w:pPr>
    </w:p>
    <w:p w:rsidR="00293C2C" w:rsidRPr="00723F59" w:rsidRDefault="00F90220" w:rsidP="00293C2C">
      <w:pPr>
        <w:spacing w:after="0"/>
        <w:jc w:val="center"/>
        <w:rPr>
          <w:rFonts w:ascii="Ravie" w:hAnsi="Ravie"/>
          <w:sz w:val="28"/>
        </w:rPr>
      </w:pPr>
      <w:r>
        <w:rPr>
          <w:rFonts w:ascii="Ravie" w:hAnsi="Ravie"/>
          <w:sz w:val="28"/>
        </w:rPr>
        <w:t>Calculating Your Monthly Car Payment</w:t>
      </w:r>
    </w:p>
    <w:p w:rsidR="00293C2C" w:rsidRDefault="00293C2C" w:rsidP="00293C2C">
      <w:pPr>
        <w:spacing w:after="0"/>
      </w:pPr>
    </w:p>
    <w:p w:rsidR="00F90220" w:rsidRDefault="00F90220" w:rsidP="00731009">
      <w:pPr>
        <w:spacing w:after="0"/>
      </w:pPr>
      <w:r>
        <w:t>Let’s pretend you are buying a $15,000 car. You have no vehicle to trade-in, but you have saved a 20% down payment. Therefore, you will be shopping for a $12,000 car loan.</w:t>
      </w:r>
    </w:p>
    <w:p w:rsidR="00F90220" w:rsidRDefault="00F90220" w:rsidP="00F90220">
      <w:pPr>
        <w:spacing w:after="0"/>
        <w:ind w:left="1440" w:firstLine="720"/>
      </w:pPr>
      <w:r>
        <w:t>$15,000 vehicle    x    20%   =    $3,000 down payment</w:t>
      </w:r>
    </w:p>
    <w:p w:rsidR="00F90220" w:rsidRDefault="00F90220" w:rsidP="00F90220">
      <w:pPr>
        <w:spacing w:after="0"/>
        <w:ind w:left="1440" w:firstLine="720"/>
      </w:pPr>
      <w:r>
        <w:t>$15,000 vehicle    -    $3,000 down payment    =    $12,000 car loan</w:t>
      </w:r>
    </w:p>
    <w:p w:rsidR="00F90220" w:rsidRDefault="00F90220" w:rsidP="00731009">
      <w:pPr>
        <w:spacing w:after="0"/>
      </w:pPr>
      <w:r>
        <w:t xml:space="preserve">  </w:t>
      </w:r>
    </w:p>
    <w:p w:rsidR="00731009" w:rsidRDefault="00F90220" w:rsidP="00731009">
      <w:pPr>
        <w:spacing w:after="0"/>
      </w:pPr>
      <w:r>
        <w:t>Your monthly car payment amount will depend on a number of factors. C</w:t>
      </w:r>
      <w:r w:rsidR="00731009">
        <w:t xml:space="preserve">omplete the table below to </w:t>
      </w:r>
      <w:r>
        <w:t>see the effect of various loan terms on the amount of your monthly payment. We will u</w:t>
      </w:r>
      <w:r w:rsidR="00731009">
        <w:t xml:space="preserve">se the </w:t>
      </w:r>
      <w:r>
        <w:t xml:space="preserve">car payment </w:t>
      </w:r>
      <w:r w:rsidR="00723F59">
        <w:t>c</w:t>
      </w:r>
      <w:r w:rsidR="00731009">
        <w:t xml:space="preserve">alculator </w:t>
      </w:r>
      <w:r>
        <w:t xml:space="preserve">found </w:t>
      </w:r>
      <w:r w:rsidR="00B40733">
        <w:t xml:space="preserve">at </w:t>
      </w:r>
      <w:hyperlink r:id="rId8" w:history="1">
        <w:r w:rsidR="00B40733">
          <w:rPr>
            <w:rStyle w:val="Hyperlink"/>
          </w:rPr>
          <w:t>http://www.bankrate.com/calculators/auto/auto-loan-calculator.aspx</w:t>
        </w:r>
      </w:hyperlink>
      <w:r w:rsidR="00B40733">
        <w:t>.</w:t>
      </w:r>
    </w:p>
    <w:p w:rsidR="006F1280" w:rsidRDefault="006F1280" w:rsidP="00723F59">
      <w:pPr>
        <w:spacing w:after="0"/>
      </w:pPr>
    </w:p>
    <w:p w:rsidR="00731009" w:rsidRDefault="00731009" w:rsidP="00731009">
      <w:pPr>
        <w:spacing w:after="0"/>
      </w:pPr>
    </w:p>
    <w:tbl>
      <w:tblPr>
        <w:tblStyle w:val="TableGrid"/>
        <w:tblW w:w="10094" w:type="dxa"/>
        <w:jc w:val="center"/>
        <w:tblLook w:val="04A0" w:firstRow="1" w:lastRow="0" w:firstColumn="1" w:lastColumn="0" w:noHBand="0" w:noVBand="1"/>
      </w:tblPr>
      <w:tblGrid>
        <w:gridCol w:w="1548"/>
        <w:gridCol w:w="1922"/>
        <w:gridCol w:w="2160"/>
        <w:gridCol w:w="2160"/>
        <w:gridCol w:w="2297"/>
        <w:gridCol w:w="7"/>
      </w:tblGrid>
      <w:tr w:rsidR="00927AC4" w:rsidRPr="00723F59" w:rsidTr="00921E04">
        <w:trPr>
          <w:gridAfter w:val="1"/>
          <w:wAfter w:w="7" w:type="dxa"/>
          <w:trHeight w:val="864"/>
          <w:jc w:val="center"/>
        </w:trPr>
        <w:tc>
          <w:tcPr>
            <w:tcW w:w="10087" w:type="dxa"/>
            <w:gridSpan w:val="5"/>
            <w:shd w:val="clear" w:color="auto" w:fill="808080" w:themeFill="background1" w:themeFillShade="80"/>
            <w:vAlign w:val="center"/>
          </w:tcPr>
          <w:p w:rsidR="00927AC4" w:rsidRPr="00723F59" w:rsidRDefault="00927AC4" w:rsidP="007764E2">
            <w:pPr>
              <w:jc w:val="center"/>
            </w:pPr>
            <w:r w:rsidRPr="001D0CC0">
              <w:rPr>
                <w:b/>
                <w:color w:val="FFFFFF" w:themeColor="background1"/>
                <w:sz w:val="28"/>
              </w:rPr>
              <w:t>Car Payment Calculations</w:t>
            </w:r>
            <w:r w:rsidRPr="001D0CC0">
              <w:rPr>
                <w:color w:val="FFFFFF" w:themeColor="background1"/>
              </w:rPr>
              <w:br/>
            </w:r>
            <w:r w:rsidRPr="001D0CC0">
              <w:rPr>
                <w:i/>
                <w:color w:val="FFFFFF" w:themeColor="background1"/>
              </w:rPr>
              <w:t>$12,000 loan principal ($15,000 car with a 20% or $3,000 down payment)</w:t>
            </w:r>
          </w:p>
        </w:tc>
      </w:tr>
      <w:tr w:rsidR="00921E04" w:rsidRPr="00DC2847" w:rsidTr="00921E04">
        <w:trPr>
          <w:trHeight w:val="432"/>
          <w:jc w:val="center"/>
        </w:trPr>
        <w:tc>
          <w:tcPr>
            <w:tcW w:w="154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b/>
                <w:sz w:val="26"/>
                <w:szCs w:val="26"/>
              </w:rPr>
            </w:pPr>
            <w:r w:rsidRPr="00DC2847">
              <w:rPr>
                <w:b/>
                <w:sz w:val="26"/>
                <w:szCs w:val="26"/>
              </w:rPr>
              <w:t xml:space="preserve">APR </w:t>
            </w:r>
            <w:r w:rsidRPr="00DC28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b/>
                <w:sz w:val="26"/>
                <w:szCs w:val="26"/>
              </w:rPr>
            </w:pPr>
            <w:r w:rsidRPr="00DC2847">
              <w:rPr>
                <w:b/>
                <w:sz w:val="26"/>
                <w:szCs w:val="26"/>
              </w:rPr>
              <w:t xml:space="preserve">Length of Loan </w:t>
            </w: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b/>
                <w:sz w:val="26"/>
                <w:szCs w:val="26"/>
              </w:rPr>
            </w:pPr>
            <w:r w:rsidRPr="00DC2847">
              <w:rPr>
                <w:b/>
                <w:sz w:val="26"/>
                <w:szCs w:val="26"/>
              </w:rPr>
              <w:t>Monthly Payment</w:t>
            </w: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Cost of Loan</w:t>
            </w:r>
          </w:p>
        </w:tc>
        <w:tc>
          <w:tcPr>
            <w:tcW w:w="2304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652D7D">
            <w:pPr>
              <w:jc w:val="center"/>
              <w:rPr>
                <w:b/>
                <w:sz w:val="26"/>
                <w:szCs w:val="26"/>
              </w:rPr>
            </w:pPr>
            <w:r w:rsidRPr="00DC2847">
              <w:rPr>
                <w:b/>
                <w:sz w:val="26"/>
                <w:szCs w:val="26"/>
              </w:rPr>
              <w:t>Total Interest</w:t>
            </w:r>
          </w:p>
        </w:tc>
      </w:tr>
      <w:tr w:rsidR="00921E04" w:rsidRPr="00DC2847" w:rsidTr="00921E04">
        <w:trPr>
          <w:trHeight w:val="576"/>
          <w:jc w:val="center"/>
        </w:trPr>
        <w:tc>
          <w:tcPr>
            <w:tcW w:w="1548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i/>
                <w:sz w:val="20"/>
              </w:rPr>
            </w:pPr>
            <w:r w:rsidRPr="00DC2847">
              <w:rPr>
                <w:i/>
                <w:sz w:val="20"/>
              </w:rPr>
              <w:t>interest rate</w:t>
            </w:r>
          </w:p>
        </w:tc>
        <w:tc>
          <w:tcPr>
            <w:tcW w:w="1922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i/>
                <w:sz w:val="20"/>
              </w:rPr>
            </w:pPr>
            <w:r w:rsidRPr="00DC2847">
              <w:rPr>
                <w:i/>
                <w:sz w:val="20"/>
              </w:rPr>
              <w:t># of payments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use online calculator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7764E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monthly payment times  # of payments</w:t>
            </w:r>
          </w:p>
        </w:tc>
        <w:tc>
          <w:tcPr>
            <w:tcW w:w="2304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1E04" w:rsidRPr="00DC2847" w:rsidRDefault="00921E04" w:rsidP="00921E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 cost minus $12,000 (loan principal)</w:t>
            </w:r>
          </w:p>
        </w:tc>
      </w:tr>
      <w:tr w:rsidR="00921E04" w:rsidTr="00921E04">
        <w:trPr>
          <w:trHeight w:val="720"/>
          <w:jc w:val="center"/>
        </w:trPr>
        <w:tc>
          <w:tcPr>
            <w:tcW w:w="1548" w:type="dxa"/>
            <w:vAlign w:val="center"/>
          </w:tcPr>
          <w:p w:rsidR="00921E04" w:rsidRDefault="00921E04" w:rsidP="007764E2">
            <w:pPr>
              <w:jc w:val="center"/>
            </w:pPr>
            <w:r>
              <w:t>3%</w:t>
            </w:r>
          </w:p>
        </w:tc>
        <w:tc>
          <w:tcPr>
            <w:tcW w:w="1922" w:type="dxa"/>
            <w:vAlign w:val="center"/>
          </w:tcPr>
          <w:p w:rsidR="00921E04" w:rsidRDefault="00921E04" w:rsidP="007764E2">
            <w:pPr>
              <w:jc w:val="center"/>
            </w:pPr>
            <w:r>
              <w:t>36 months</w:t>
            </w:r>
            <w:r>
              <w:br/>
            </w:r>
            <w:r w:rsidRPr="00927AC4">
              <w:rPr>
                <w:i/>
                <w:sz w:val="20"/>
              </w:rPr>
              <w:t>(3 years)</w:t>
            </w:r>
          </w:p>
        </w:tc>
        <w:tc>
          <w:tcPr>
            <w:tcW w:w="2160" w:type="dxa"/>
            <w:vAlign w:val="center"/>
          </w:tcPr>
          <w:p w:rsidR="00921E04" w:rsidRDefault="00921E04" w:rsidP="007764E2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1E04" w:rsidRPr="00EF1055" w:rsidRDefault="00921E04" w:rsidP="00395E5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921E04" w:rsidRDefault="00921E04" w:rsidP="007764E2">
            <w:pPr>
              <w:jc w:val="center"/>
            </w:pPr>
          </w:p>
        </w:tc>
      </w:tr>
      <w:tr w:rsidR="00921E04" w:rsidTr="00921E04">
        <w:trPr>
          <w:trHeight w:val="720"/>
          <w:jc w:val="center"/>
        </w:trPr>
        <w:tc>
          <w:tcPr>
            <w:tcW w:w="1548" w:type="dxa"/>
            <w:vAlign w:val="center"/>
          </w:tcPr>
          <w:p w:rsidR="00921E04" w:rsidRDefault="00921E04" w:rsidP="007764E2">
            <w:pPr>
              <w:jc w:val="center"/>
            </w:pPr>
            <w:r>
              <w:t>3%</w:t>
            </w:r>
          </w:p>
        </w:tc>
        <w:tc>
          <w:tcPr>
            <w:tcW w:w="1922" w:type="dxa"/>
            <w:vAlign w:val="center"/>
          </w:tcPr>
          <w:p w:rsidR="00921E04" w:rsidRDefault="00921E04" w:rsidP="007764E2">
            <w:pPr>
              <w:jc w:val="center"/>
            </w:pPr>
            <w:r>
              <w:t>60 months</w:t>
            </w:r>
            <w:r>
              <w:br/>
            </w:r>
            <w:r w:rsidRPr="00927AC4">
              <w:rPr>
                <w:i/>
                <w:sz w:val="20"/>
              </w:rPr>
              <w:t>(5 years)</w:t>
            </w:r>
          </w:p>
        </w:tc>
        <w:tc>
          <w:tcPr>
            <w:tcW w:w="2160" w:type="dxa"/>
            <w:vAlign w:val="center"/>
          </w:tcPr>
          <w:p w:rsidR="00921E04" w:rsidRDefault="00921E04" w:rsidP="007764E2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1E04" w:rsidRDefault="00921E04" w:rsidP="00395E5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921E04" w:rsidRDefault="00921E04" w:rsidP="007764E2">
            <w:pPr>
              <w:jc w:val="center"/>
            </w:pPr>
          </w:p>
        </w:tc>
      </w:tr>
      <w:tr w:rsidR="00921E04" w:rsidTr="00921E04">
        <w:trPr>
          <w:trHeight w:val="720"/>
          <w:jc w:val="center"/>
        </w:trPr>
        <w:tc>
          <w:tcPr>
            <w:tcW w:w="1548" w:type="dxa"/>
            <w:vAlign w:val="center"/>
          </w:tcPr>
          <w:p w:rsidR="00921E04" w:rsidRDefault="00921E04" w:rsidP="007764E2">
            <w:pPr>
              <w:jc w:val="center"/>
            </w:pPr>
            <w:r>
              <w:t>6%</w:t>
            </w:r>
          </w:p>
        </w:tc>
        <w:tc>
          <w:tcPr>
            <w:tcW w:w="1922" w:type="dxa"/>
            <w:vAlign w:val="center"/>
          </w:tcPr>
          <w:p w:rsidR="00921E04" w:rsidRDefault="00921E04" w:rsidP="007764E2">
            <w:pPr>
              <w:jc w:val="center"/>
            </w:pPr>
            <w:r>
              <w:t>36 months</w:t>
            </w:r>
          </w:p>
        </w:tc>
        <w:tc>
          <w:tcPr>
            <w:tcW w:w="2160" w:type="dxa"/>
            <w:vAlign w:val="center"/>
          </w:tcPr>
          <w:p w:rsidR="00921E04" w:rsidRDefault="00921E04" w:rsidP="007764E2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1E04" w:rsidRDefault="00921E04" w:rsidP="00395E5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921E04" w:rsidRDefault="00921E04" w:rsidP="007764E2">
            <w:pPr>
              <w:jc w:val="center"/>
            </w:pPr>
          </w:p>
        </w:tc>
      </w:tr>
      <w:tr w:rsidR="00921E04" w:rsidTr="00921E04">
        <w:trPr>
          <w:trHeight w:val="720"/>
          <w:jc w:val="center"/>
        </w:trPr>
        <w:tc>
          <w:tcPr>
            <w:tcW w:w="1548" w:type="dxa"/>
            <w:vAlign w:val="center"/>
          </w:tcPr>
          <w:p w:rsidR="00921E04" w:rsidRDefault="00921E04" w:rsidP="007764E2">
            <w:pPr>
              <w:jc w:val="center"/>
            </w:pPr>
            <w:r>
              <w:t>6%</w:t>
            </w:r>
          </w:p>
        </w:tc>
        <w:tc>
          <w:tcPr>
            <w:tcW w:w="1922" w:type="dxa"/>
            <w:vAlign w:val="center"/>
          </w:tcPr>
          <w:p w:rsidR="00921E04" w:rsidRDefault="00921E04" w:rsidP="007764E2">
            <w:pPr>
              <w:jc w:val="center"/>
            </w:pPr>
            <w:r>
              <w:t>60 months</w:t>
            </w:r>
          </w:p>
        </w:tc>
        <w:tc>
          <w:tcPr>
            <w:tcW w:w="2160" w:type="dxa"/>
            <w:vAlign w:val="center"/>
          </w:tcPr>
          <w:p w:rsidR="00921E04" w:rsidRDefault="00921E04" w:rsidP="007764E2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1E04" w:rsidRDefault="00921E04" w:rsidP="00395E5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921E04" w:rsidRDefault="00921E04" w:rsidP="007764E2">
            <w:pPr>
              <w:jc w:val="center"/>
            </w:pPr>
          </w:p>
        </w:tc>
      </w:tr>
      <w:tr w:rsidR="00921E04" w:rsidTr="00921E04">
        <w:trPr>
          <w:trHeight w:val="720"/>
          <w:jc w:val="center"/>
        </w:trPr>
        <w:tc>
          <w:tcPr>
            <w:tcW w:w="1548" w:type="dxa"/>
            <w:vAlign w:val="center"/>
          </w:tcPr>
          <w:p w:rsidR="00921E04" w:rsidRDefault="00921E04" w:rsidP="007764E2">
            <w:pPr>
              <w:jc w:val="center"/>
            </w:pPr>
            <w:r>
              <w:t>10%</w:t>
            </w:r>
          </w:p>
        </w:tc>
        <w:tc>
          <w:tcPr>
            <w:tcW w:w="1922" w:type="dxa"/>
            <w:vAlign w:val="center"/>
          </w:tcPr>
          <w:p w:rsidR="00921E04" w:rsidRDefault="00921E04" w:rsidP="007764E2">
            <w:pPr>
              <w:jc w:val="center"/>
            </w:pPr>
            <w:r>
              <w:t>36 months</w:t>
            </w:r>
          </w:p>
        </w:tc>
        <w:tc>
          <w:tcPr>
            <w:tcW w:w="2160" w:type="dxa"/>
            <w:vAlign w:val="center"/>
          </w:tcPr>
          <w:p w:rsidR="00921E04" w:rsidRDefault="00921E04" w:rsidP="007764E2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1E04" w:rsidRDefault="00921E04" w:rsidP="00395E5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921E04" w:rsidRDefault="00921E04" w:rsidP="007764E2">
            <w:pPr>
              <w:jc w:val="center"/>
            </w:pPr>
          </w:p>
        </w:tc>
      </w:tr>
      <w:tr w:rsidR="00921E04" w:rsidTr="00921E04">
        <w:trPr>
          <w:trHeight w:val="720"/>
          <w:jc w:val="center"/>
        </w:trPr>
        <w:tc>
          <w:tcPr>
            <w:tcW w:w="1548" w:type="dxa"/>
            <w:vAlign w:val="center"/>
          </w:tcPr>
          <w:p w:rsidR="00921E04" w:rsidRDefault="00921E04" w:rsidP="007764E2">
            <w:pPr>
              <w:jc w:val="center"/>
            </w:pPr>
            <w:r>
              <w:t>10%</w:t>
            </w:r>
          </w:p>
        </w:tc>
        <w:tc>
          <w:tcPr>
            <w:tcW w:w="1922" w:type="dxa"/>
            <w:vAlign w:val="center"/>
          </w:tcPr>
          <w:p w:rsidR="00921E04" w:rsidRDefault="00921E04" w:rsidP="007764E2">
            <w:pPr>
              <w:jc w:val="center"/>
            </w:pPr>
            <w:r>
              <w:t>60 months</w:t>
            </w:r>
          </w:p>
        </w:tc>
        <w:tc>
          <w:tcPr>
            <w:tcW w:w="2160" w:type="dxa"/>
            <w:vAlign w:val="center"/>
          </w:tcPr>
          <w:p w:rsidR="00921E04" w:rsidRDefault="00921E04" w:rsidP="007764E2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1E04" w:rsidRDefault="00921E04" w:rsidP="00395E5A">
            <w:pPr>
              <w:jc w:val="center"/>
            </w:pPr>
          </w:p>
        </w:tc>
        <w:tc>
          <w:tcPr>
            <w:tcW w:w="2304" w:type="dxa"/>
            <w:gridSpan w:val="2"/>
            <w:vAlign w:val="center"/>
          </w:tcPr>
          <w:p w:rsidR="00921E04" w:rsidRDefault="00921E04" w:rsidP="007764E2">
            <w:pPr>
              <w:jc w:val="center"/>
            </w:pPr>
          </w:p>
        </w:tc>
      </w:tr>
    </w:tbl>
    <w:p w:rsidR="00293C2C" w:rsidRDefault="00293C2C" w:rsidP="00293C2C">
      <w:pPr>
        <w:spacing w:after="0"/>
      </w:pPr>
    </w:p>
    <w:sectPr w:rsidR="00293C2C" w:rsidSect="00723F59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4" w:rsidRDefault="00921E04" w:rsidP="00921E04">
      <w:pPr>
        <w:spacing w:after="0" w:line="240" w:lineRule="auto"/>
      </w:pPr>
      <w:r>
        <w:separator/>
      </w:r>
    </w:p>
  </w:endnote>
  <w:endnote w:type="continuationSeparator" w:id="0">
    <w:p w:rsidR="00921E04" w:rsidRDefault="00921E04" w:rsidP="0092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4" w:rsidRDefault="00921E04" w:rsidP="00921E04">
      <w:pPr>
        <w:spacing w:after="0" w:line="240" w:lineRule="auto"/>
      </w:pPr>
      <w:r>
        <w:separator/>
      </w:r>
    </w:p>
  </w:footnote>
  <w:footnote w:type="continuationSeparator" w:id="0">
    <w:p w:rsidR="00921E04" w:rsidRDefault="00921E04" w:rsidP="0092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04" w:rsidRPr="00921E04" w:rsidRDefault="00921E04">
    <w:pPr>
      <w:pStyle w:val="Header"/>
      <w:rPr>
        <w:i/>
        <w:sz w:val="20"/>
      </w:rPr>
    </w:pPr>
    <w:r w:rsidRPr="00053DB0">
      <w:rPr>
        <w:i/>
        <w:sz w:val="20"/>
      </w:rPr>
      <w:t xml:space="preserve">Financial Literacy – </w:t>
    </w:r>
    <w:proofErr w:type="spellStart"/>
    <w:r>
      <w:rPr>
        <w:i/>
        <w:sz w:val="20"/>
      </w:rPr>
      <w:t>Wkst</w:t>
    </w:r>
    <w:proofErr w:type="spellEnd"/>
    <w:r>
      <w:rPr>
        <w:i/>
        <w:sz w:val="20"/>
      </w:rPr>
      <w:t xml:space="preserve">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448"/>
    <w:multiLevelType w:val="hybridMultilevel"/>
    <w:tmpl w:val="4C46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6ACF"/>
    <w:multiLevelType w:val="hybridMultilevel"/>
    <w:tmpl w:val="A766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21F1"/>
    <w:multiLevelType w:val="hybridMultilevel"/>
    <w:tmpl w:val="9298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30C5B"/>
    <w:multiLevelType w:val="hybridMultilevel"/>
    <w:tmpl w:val="3D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C"/>
    <w:rsid w:val="000836AC"/>
    <w:rsid w:val="00110A14"/>
    <w:rsid w:val="00293C2C"/>
    <w:rsid w:val="004E3189"/>
    <w:rsid w:val="006F1280"/>
    <w:rsid w:val="00723F59"/>
    <w:rsid w:val="00731009"/>
    <w:rsid w:val="007E3EBE"/>
    <w:rsid w:val="00921E04"/>
    <w:rsid w:val="00927AC4"/>
    <w:rsid w:val="00B40733"/>
    <w:rsid w:val="00BA734A"/>
    <w:rsid w:val="00BF1905"/>
    <w:rsid w:val="00C3763F"/>
    <w:rsid w:val="00DD6127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2C"/>
    <w:pPr>
      <w:ind w:left="720"/>
      <w:contextualSpacing/>
    </w:pPr>
  </w:style>
  <w:style w:type="table" w:styleId="TableGrid">
    <w:name w:val="Table Grid"/>
    <w:basedOn w:val="TableNormal"/>
    <w:uiPriority w:val="59"/>
    <w:rsid w:val="0073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1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04"/>
  </w:style>
  <w:style w:type="paragraph" w:styleId="Footer">
    <w:name w:val="footer"/>
    <w:basedOn w:val="Normal"/>
    <w:link w:val="FooterChar"/>
    <w:uiPriority w:val="99"/>
    <w:unhideWhenUsed/>
    <w:rsid w:val="0092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2C"/>
    <w:pPr>
      <w:ind w:left="720"/>
      <w:contextualSpacing/>
    </w:pPr>
  </w:style>
  <w:style w:type="table" w:styleId="TableGrid">
    <w:name w:val="Table Grid"/>
    <w:basedOn w:val="TableNormal"/>
    <w:uiPriority w:val="59"/>
    <w:rsid w:val="0073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1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04"/>
  </w:style>
  <w:style w:type="paragraph" w:styleId="Footer">
    <w:name w:val="footer"/>
    <w:basedOn w:val="Normal"/>
    <w:link w:val="FooterChar"/>
    <w:uiPriority w:val="99"/>
    <w:unhideWhenUsed/>
    <w:rsid w:val="0092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ate.com/calculators/auto/auto-loan-calculato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2013-05-05T19:59:00Z</dcterms:created>
  <dcterms:modified xsi:type="dcterms:W3CDTF">2014-01-07T17:42:00Z</dcterms:modified>
</cp:coreProperties>
</file>